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9B" w:rsidRDefault="00FA1A9B" w:rsidP="00A541F7">
      <w:pPr>
        <w:ind w:left="0" w:right="0"/>
        <w:rPr>
          <w:sz w:val="24"/>
        </w:rPr>
      </w:pPr>
      <w:bookmarkStart w:id="0" w:name="_GoBack"/>
      <w:bookmarkEnd w:id="0"/>
      <w:r>
        <w:rPr>
          <w:sz w:val="24"/>
        </w:rPr>
        <w:t>Local workforce boards are required to identify the assessments to be used to determine eligibility and must ensure eligibility determination policies are consistent with state policies.</w:t>
      </w:r>
    </w:p>
    <w:p w:rsidR="003477DF" w:rsidRDefault="003477DF" w:rsidP="00FA1A9B">
      <w:pPr>
        <w:ind w:left="0" w:right="0"/>
        <w:rPr>
          <w:sz w:val="24"/>
        </w:rPr>
      </w:pPr>
    </w:p>
    <w:p w:rsidR="003477DF" w:rsidRPr="00F84BD5" w:rsidRDefault="003477DF" w:rsidP="00FA1A9B">
      <w:pPr>
        <w:ind w:left="0" w:right="0"/>
        <w:rPr>
          <w:sz w:val="24"/>
        </w:rPr>
      </w:pPr>
      <w:r w:rsidRPr="00F84BD5">
        <w:rPr>
          <w:sz w:val="24"/>
        </w:rPr>
        <w:t>The initial assessment should be the first step with working with the participant. The initial assessment is part of the overall intake process and includes informal verbal discussion and should include the following:</w:t>
      </w:r>
    </w:p>
    <w:p w:rsidR="003477DF" w:rsidRPr="00F84BD5" w:rsidRDefault="003477DF" w:rsidP="003477DF">
      <w:pPr>
        <w:pStyle w:val="ListParagraph"/>
        <w:numPr>
          <w:ilvl w:val="0"/>
          <w:numId w:val="3"/>
        </w:numPr>
        <w:ind w:right="0"/>
        <w:rPr>
          <w:sz w:val="24"/>
        </w:rPr>
      </w:pPr>
      <w:r w:rsidRPr="00F84BD5">
        <w:rPr>
          <w:sz w:val="24"/>
        </w:rPr>
        <w:t>Identification of strengths</w:t>
      </w:r>
    </w:p>
    <w:p w:rsidR="003477DF" w:rsidRPr="00F84BD5" w:rsidRDefault="003477DF" w:rsidP="003477DF">
      <w:pPr>
        <w:pStyle w:val="ListParagraph"/>
        <w:numPr>
          <w:ilvl w:val="0"/>
          <w:numId w:val="3"/>
        </w:numPr>
        <w:ind w:right="0"/>
        <w:rPr>
          <w:sz w:val="24"/>
        </w:rPr>
      </w:pPr>
      <w:r w:rsidRPr="00F84BD5">
        <w:rPr>
          <w:sz w:val="24"/>
        </w:rPr>
        <w:t>Identification of workplace skills</w:t>
      </w:r>
    </w:p>
    <w:p w:rsidR="003477DF" w:rsidRPr="00F84BD5" w:rsidRDefault="003477DF" w:rsidP="003477DF">
      <w:pPr>
        <w:pStyle w:val="ListParagraph"/>
        <w:numPr>
          <w:ilvl w:val="0"/>
          <w:numId w:val="3"/>
        </w:numPr>
        <w:ind w:right="0"/>
        <w:rPr>
          <w:sz w:val="24"/>
        </w:rPr>
      </w:pPr>
      <w:r w:rsidRPr="00F84BD5">
        <w:rPr>
          <w:sz w:val="24"/>
        </w:rPr>
        <w:t>Career Interests</w:t>
      </w:r>
    </w:p>
    <w:p w:rsidR="003477DF" w:rsidRPr="00F84BD5" w:rsidRDefault="003477DF" w:rsidP="003477DF">
      <w:pPr>
        <w:pStyle w:val="ListParagraph"/>
        <w:numPr>
          <w:ilvl w:val="0"/>
          <w:numId w:val="3"/>
        </w:numPr>
        <w:ind w:right="0"/>
        <w:rPr>
          <w:sz w:val="24"/>
        </w:rPr>
      </w:pPr>
      <w:r w:rsidRPr="00F84BD5">
        <w:rPr>
          <w:sz w:val="24"/>
        </w:rPr>
        <w:t>Work Values</w:t>
      </w:r>
    </w:p>
    <w:p w:rsidR="003477DF" w:rsidRPr="00F84BD5" w:rsidRDefault="003477DF" w:rsidP="003477DF">
      <w:pPr>
        <w:pStyle w:val="ListParagraph"/>
        <w:numPr>
          <w:ilvl w:val="0"/>
          <w:numId w:val="3"/>
        </w:numPr>
        <w:ind w:right="0"/>
        <w:rPr>
          <w:sz w:val="24"/>
        </w:rPr>
      </w:pPr>
      <w:r w:rsidRPr="00F84BD5">
        <w:rPr>
          <w:sz w:val="24"/>
        </w:rPr>
        <w:t>Identification of work history</w:t>
      </w:r>
    </w:p>
    <w:p w:rsidR="003477DF" w:rsidRPr="00F84BD5" w:rsidRDefault="003477DF" w:rsidP="003477DF">
      <w:pPr>
        <w:pStyle w:val="ListParagraph"/>
        <w:numPr>
          <w:ilvl w:val="0"/>
          <w:numId w:val="3"/>
        </w:numPr>
        <w:ind w:right="0"/>
        <w:rPr>
          <w:sz w:val="24"/>
        </w:rPr>
      </w:pPr>
      <w:r w:rsidRPr="00F84BD5">
        <w:rPr>
          <w:sz w:val="24"/>
        </w:rPr>
        <w:t>Family situation</w:t>
      </w:r>
    </w:p>
    <w:p w:rsidR="003477DF" w:rsidRPr="00F84BD5" w:rsidRDefault="003477DF" w:rsidP="003477DF">
      <w:pPr>
        <w:pStyle w:val="ListParagraph"/>
        <w:numPr>
          <w:ilvl w:val="0"/>
          <w:numId w:val="3"/>
        </w:numPr>
        <w:ind w:right="0"/>
        <w:rPr>
          <w:sz w:val="24"/>
        </w:rPr>
      </w:pPr>
      <w:r w:rsidRPr="00F84BD5">
        <w:rPr>
          <w:sz w:val="24"/>
        </w:rPr>
        <w:t>Service Needs</w:t>
      </w:r>
    </w:p>
    <w:p w:rsidR="003477DF" w:rsidRPr="00F84BD5" w:rsidRDefault="003477DF" w:rsidP="003477DF">
      <w:pPr>
        <w:ind w:left="0" w:right="0"/>
        <w:rPr>
          <w:sz w:val="24"/>
        </w:rPr>
      </w:pPr>
    </w:p>
    <w:p w:rsidR="003477DF" w:rsidRPr="00F84BD5" w:rsidRDefault="003477DF" w:rsidP="003477DF">
      <w:pPr>
        <w:ind w:left="0" w:right="0"/>
        <w:rPr>
          <w:sz w:val="24"/>
        </w:rPr>
      </w:pPr>
      <w:r w:rsidRPr="00F84BD5">
        <w:rPr>
          <w:sz w:val="24"/>
        </w:rPr>
        <w:t>The West Central Region will include, as part of the initial assessment for all customers wishing to access individualized or training services, the NCRC</w:t>
      </w:r>
      <w:r w:rsidR="00F84BD5">
        <w:rPr>
          <w:sz w:val="24"/>
        </w:rPr>
        <w:t xml:space="preserve"> or TABE test</w:t>
      </w:r>
      <w:r w:rsidRPr="00F84BD5">
        <w:rPr>
          <w:sz w:val="24"/>
        </w:rPr>
        <w:t xml:space="preserve"> prior to WIOA eligibility.</w:t>
      </w:r>
    </w:p>
    <w:p w:rsidR="003477DF" w:rsidRPr="00F84BD5" w:rsidRDefault="003477DF" w:rsidP="003477DF">
      <w:pPr>
        <w:ind w:left="0" w:right="0"/>
        <w:rPr>
          <w:sz w:val="24"/>
        </w:rPr>
      </w:pPr>
    </w:p>
    <w:p w:rsidR="003477DF" w:rsidRPr="00F84BD5" w:rsidRDefault="003477DF" w:rsidP="00A541F7">
      <w:pPr>
        <w:ind w:left="0" w:right="0"/>
        <w:rPr>
          <w:sz w:val="24"/>
        </w:rPr>
      </w:pPr>
      <w:r w:rsidRPr="00F84BD5">
        <w:rPr>
          <w:sz w:val="24"/>
        </w:rPr>
        <w:t>The comprehensive assessment will include MO Connections I</w:t>
      </w:r>
      <w:r w:rsidR="003C63E7">
        <w:rPr>
          <w:sz w:val="24"/>
        </w:rPr>
        <w:t>nterest Profiler and an aptitude test</w:t>
      </w:r>
      <w:r w:rsidRPr="00F84BD5">
        <w:rPr>
          <w:sz w:val="24"/>
        </w:rPr>
        <w:t>.</w:t>
      </w:r>
      <w:r w:rsidR="003C63E7">
        <w:rPr>
          <w:sz w:val="24"/>
        </w:rPr>
        <w:t xml:space="preserve"> For youth participants, an objective assessment must also be completed.</w:t>
      </w:r>
      <w:r w:rsidRPr="00F84BD5">
        <w:rPr>
          <w:sz w:val="24"/>
        </w:rPr>
        <w:t xml:space="preserve"> The objective assessment should include further analysis of the Initial Assessment r</w:t>
      </w:r>
      <w:r w:rsidR="00A541F7" w:rsidRPr="00F84BD5">
        <w:rPr>
          <w:sz w:val="24"/>
        </w:rPr>
        <w:t>esults.</w:t>
      </w:r>
    </w:p>
    <w:p w:rsidR="00FA1A9B" w:rsidRPr="00F84BD5" w:rsidRDefault="00FA1A9B" w:rsidP="00FA1A9B">
      <w:pPr>
        <w:ind w:left="0" w:right="0"/>
        <w:rPr>
          <w:sz w:val="24"/>
        </w:rPr>
      </w:pPr>
    </w:p>
    <w:p w:rsidR="003477DF" w:rsidRPr="00F84BD5" w:rsidRDefault="00FA1A9B" w:rsidP="00FA1A9B">
      <w:pPr>
        <w:ind w:left="0" w:right="0"/>
        <w:rPr>
          <w:sz w:val="24"/>
        </w:rPr>
      </w:pPr>
      <w:r w:rsidRPr="00F84BD5">
        <w:rPr>
          <w:sz w:val="24"/>
        </w:rPr>
        <w:t>The West Central Region local policy requires that all participants complete</w:t>
      </w:r>
      <w:r w:rsidR="00B51C0B" w:rsidRPr="00F84BD5">
        <w:rPr>
          <w:sz w:val="24"/>
        </w:rPr>
        <w:t xml:space="preserve"> the National Career Readiness Certificate (NCRC) test</w:t>
      </w:r>
      <w:r w:rsidR="006D35CC">
        <w:rPr>
          <w:sz w:val="24"/>
        </w:rPr>
        <w:t xml:space="preserve"> or TABE test</w:t>
      </w:r>
      <w:r w:rsidR="00B51C0B" w:rsidRPr="00F84BD5">
        <w:rPr>
          <w:sz w:val="24"/>
        </w:rPr>
        <w:t xml:space="preserve"> before WIOA eligibility is determined. All participants are required to complete</w:t>
      </w:r>
      <w:r w:rsidRPr="00F84BD5">
        <w:rPr>
          <w:sz w:val="24"/>
        </w:rPr>
        <w:t xml:space="preserve"> a comprehensive assessment which includes the Objective Assessment in Mo Jobs, Missouri Connections, </w:t>
      </w:r>
      <w:r w:rsidR="00F84BD5">
        <w:rPr>
          <w:sz w:val="24"/>
        </w:rPr>
        <w:t>and</w:t>
      </w:r>
      <w:r w:rsidR="00B51C0B" w:rsidRPr="00F84BD5">
        <w:rPr>
          <w:sz w:val="24"/>
        </w:rPr>
        <w:t xml:space="preserve"> an aptitude test</w:t>
      </w:r>
      <w:r w:rsidRPr="00F84BD5">
        <w:rPr>
          <w:sz w:val="24"/>
        </w:rPr>
        <w:t>.</w:t>
      </w:r>
    </w:p>
    <w:p w:rsidR="00A541F7" w:rsidRPr="00F84BD5" w:rsidRDefault="00A541F7" w:rsidP="00FA1A9B">
      <w:pPr>
        <w:ind w:left="0" w:right="0"/>
        <w:rPr>
          <w:sz w:val="24"/>
        </w:rPr>
      </w:pPr>
    </w:p>
    <w:p w:rsidR="00A541F7" w:rsidRPr="00F84BD5" w:rsidRDefault="00A541F7" w:rsidP="00FA1A9B">
      <w:pPr>
        <w:ind w:left="0" w:right="0"/>
        <w:rPr>
          <w:sz w:val="24"/>
        </w:rPr>
      </w:pPr>
      <w:r w:rsidRPr="00F84BD5">
        <w:rPr>
          <w:sz w:val="24"/>
        </w:rPr>
        <w:t>Youth participants should be screened for Basic Skills Deficiency prior to eligibility. Staff may use evaluations or assessments completed within a previous six month period.</w:t>
      </w:r>
    </w:p>
    <w:p w:rsidR="003477DF" w:rsidRPr="00F84BD5" w:rsidRDefault="003477DF" w:rsidP="00FA1A9B">
      <w:pPr>
        <w:ind w:left="0" w:right="0"/>
        <w:rPr>
          <w:sz w:val="24"/>
        </w:rPr>
      </w:pPr>
    </w:p>
    <w:p w:rsidR="00FA1A9B" w:rsidRPr="00F84BD5" w:rsidRDefault="00FA1A9B" w:rsidP="00FA1A9B">
      <w:pPr>
        <w:ind w:left="0" w:right="0"/>
        <w:rPr>
          <w:sz w:val="24"/>
        </w:rPr>
      </w:pPr>
      <w:r w:rsidRPr="00F84BD5">
        <w:rPr>
          <w:sz w:val="24"/>
        </w:rPr>
        <w:t xml:space="preserve"> Job Center staff may use interviews, evaluations or assessments by partner agency/programs that have been completed within a previous six month period to determine if individualized career services are appropriate.</w:t>
      </w:r>
    </w:p>
    <w:p w:rsidR="001E1EEA" w:rsidRPr="00F84BD5" w:rsidRDefault="001E1EEA" w:rsidP="00282912">
      <w:pPr>
        <w:ind w:left="0" w:right="0"/>
        <w:rPr>
          <w:sz w:val="24"/>
        </w:rPr>
      </w:pPr>
    </w:p>
    <w:p w:rsidR="00A83828" w:rsidRPr="00F84BD5" w:rsidRDefault="00A83828" w:rsidP="00282912">
      <w:pPr>
        <w:ind w:left="0" w:right="0"/>
        <w:rPr>
          <w:sz w:val="24"/>
        </w:rPr>
      </w:pPr>
    </w:p>
    <w:p w:rsidR="00A83828" w:rsidRDefault="00A83828" w:rsidP="00282912">
      <w:pPr>
        <w:ind w:left="0" w:right="0"/>
        <w:rPr>
          <w:sz w:val="24"/>
        </w:rPr>
      </w:pPr>
    </w:p>
    <w:sectPr w:rsidR="00A8382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F43" w:rsidRDefault="008E3F43" w:rsidP="00FC3D31">
      <w:r>
        <w:separator/>
      </w:r>
    </w:p>
  </w:endnote>
  <w:endnote w:type="continuationSeparator" w:id="0">
    <w:p w:rsidR="008E3F43" w:rsidRDefault="008E3F43" w:rsidP="00FC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953924"/>
      <w:docPartObj>
        <w:docPartGallery w:val="Page Numbers (Bottom of Page)"/>
        <w:docPartUnique/>
      </w:docPartObj>
    </w:sdtPr>
    <w:sdtEndPr/>
    <w:sdtContent>
      <w:sdt>
        <w:sdtPr>
          <w:id w:val="-1769616900"/>
          <w:docPartObj>
            <w:docPartGallery w:val="Page Numbers (Top of Page)"/>
            <w:docPartUnique/>
          </w:docPartObj>
        </w:sdtPr>
        <w:sdtEndPr/>
        <w:sdtContent>
          <w:p w:rsidR="003A1A1F" w:rsidRDefault="003A1A1F">
            <w:pPr>
              <w:pStyle w:val="Footer"/>
              <w:jc w:val="right"/>
            </w:pPr>
            <w:r>
              <w:t xml:space="preserve">Page </w:t>
            </w:r>
            <w:r w:rsidR="0049040C">
              <w:rPr>
                <w:b/>
                <w:bCs/>
                <w:noProof/>
              </w:rPr>
              <w:t>1</w:t>
            </w:r>
            <w:r>
              <w:t xml:space="preserve"> of </w:t>
            </w:r>
            <w:r w:rsidR="0049040C">
              <w:rPr>
                <w:b/>
                <w:bCs/>
                <w:noProof/>
              </w:rPr>
              <w:t>1</w:t>
            </w:r>
          </w:p>
        </w:sdtContent>
      </w:sdt>
    </w:sdtContent>
  </w:sdt>
  <w:p w:rsidR="00A83828" w:rsidRDefault="00A83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F43" w:rsidRDefault="008E3F43" w:rsidP="00FC3D31">
      <w:r>
        <w:separator/>
      </w:r>
    </w:p>
  </w:footnote>
  <w:footnote w:type="continuationSeparator" w:id="0">
    <w:p w:rsidR="008E3F43" w:rsidRDefault="008E3F43" w:rsidP="00FC3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11160" w:type="dxa"/>
      <w:tblInd w:w="-905" w:type="dxa"/>
      <w:tblLook w:val="04A0" w:firstRow="1" w:lastRow="0" w:firstColumn="1" w:lastColumn="0" w:noHBand="0" w:noVBand="1"/>
    </w:tblPr>
    <w:tblGrid>
      <w:gridCol w:w="1440"/>
      <w:gridCol w:w="4050"/>
      <w:gridCol w:w="5670"/>
    </w:tblGrid>
    <w:tr w:rsidR="00F84BD5" w:rsidRPr="00F84BD5" w:rsidTr="00AF6797">
      <w:tc>
        <w:tcPr>
          <w:tcW w:w="1440" w:type="dxa"/>
          <w:vMerge w:val="restart"/>
        </w:tcPr>
        <w:p w:rsidR="00F84BD5" w:rsidRPr="00F84BD5" w:rsidRDefault="00F84BD5" w:rsidP="00F84BD5">
          <w:pPr>
            <w:jc w:val="center"/>
            <w:rPr>
              <w:b/>
              <w:sz w:val="28"/>
            </w:rPr>
          </w:pPr>
          <w:r w:rsidRPr="00F84BD5">
            <w:rPr>
              <w:noProof/>
            </w:rPr>
            <w:drawing>
              <wp:anchor distT="0" distB="0" distL="114300" distR="114300" simplePos="0" relativeHeight="251659264" behindDoc="1" locked="0" layoutInCell="1" allowOverlap="1" wp14:anchorId="2A530F57" wp14:editId="4F80547F">
                <wp:simplePos x="0" y="0"/>
                <wp:positionH relativeFrom="page">
                  <wp:posOffset>82550</wp:posOffset>
                </wp:positionH>
                <wp:positionV relativeFrom="paragraph">
                  <wp:posOffset>22225</wp:posOffset>
                </wp:positionV>
                <wp:extent cx="676275" cy="5596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 Central Map Logo.jpg"/>
                        <pic:cNvPicPr/>
                      </pic:nvPicPr>
                      <pic:blipFill>
                        <a:blip r:embed="rId1">
                          <a:extLst>
                            <a:ext uri="{28A0092B-C50C-407E-A947-70E740481C1C}">
                              <a14:useLocalDpi xmlns:a14="http://schemas.microsoft.com/office/drawing/2010/main" val="0"/>
                            </a:ext>
                          </a:extLst>
                        </a:blip>
                        <a:stretch>
                          <a:fillRect/>
                        </a:stretch>
                      </pic:blipFill>
                      <pic:spPr>
                        <a:xfrm>
                          <a:off x="0" y="0"/>
                          <a:ext cx="682189" cy="564527"/>
                        </a:xfrm>
                        <a:prstGeom prst="rect">
                          <a:avLst/>
                        </a:prstGeom>
                      </pic:spPr>
                    </pic:pic>
                  </a:graphicData>
                </a:graphic>
                <wp14:sizeRelH relativeFrom="margin">
                  <wp14:pctWidth>0</wp14:pctWidth>
                </wp14:sizeRelH>
                <wp14:sizeRelV relativeFrom="margin">
                  <wp14:pctHeight>0</wp14:pctHeight>
                </wp14:sizeRelV>
              </wp:anchor>
            </w:drawing>
          </w:r>
        </w:p>
      </w:tc>
      <w:tc>
        <w:tcPr>
          <w:tcW w:w="9720" w:type="dxa"/>
          <w:gridSpan w:val="2"/>
        </w:tcPr>
        <w:p w:rsidR="00F84BD5" w:rsidRPr="00F84BD5" w:rsidRDefault="00F84BD5" w:rsidP="00F84BD5">
          <w:pPr>
            <w:jc w:val="center"/>
            <w:rPr>
              <w:b/>
              <w:sz w:val="28"/>
            </w:rPr>
          </w:pPr>
          <w:r w:rsidRPr="00F84BD5">
            <w:rPr>
              <w:b/>
              <w:sz w:val="28"/>
            </w:rPr>
            <w:t>West Central Region Local Policy</w:t>
          </w:r>
        </w:p>
      </w:tc>
    </w:tr>
    <w:tr w:rsidR="00F84BD5" w:rsidRPr="00F84BD5" w:rsidTr="00AF6797">
      <w:tc>
        <w:tcPr>
          <w:tcW w:w="1440" w:type="dxa"/>
          <w:vMerge/>
        </w:tcPr>
        <w:p w:rsidR="00F84BD5" w:rsidRPr="00F84BD5" w:rsidRDefault="00F84BD5" w:rsidP="00F84BD5">
          <w:pPr>
            <w:rPr>
              <w:b/>
              <w:sz w:val="24"/>
            </w:rPr>
          </w:pPr>
        </w:p>
      </w:tc>
      <w:tc>
        <w:tcPr>
          <w:tcW w:w="4050" w:type="dxa"/>
        </w:tcPr>
        <w:p w:rsidR="00F84BD5" w:rsidRPr="00F84BD5" w:rsidRDefault="00F84BD5" w:rsidP="00F84BD5">
          <w:pPr>
            <w:rPr>
              <w:sz w:val="24"/>
            </w:rPr>
          </w:pPr>
          <w:r w:rsidRPr="00F84BD5">
            <w:rPr>
              <w:b/>
              <w:sz w:val="24"/>
            </w:rPr>
            <w:t xml:space="preserve">Subject:  </w:t>
          </w:r>
          <w:r>
            <w:rPr>
              <w:sz w:val="24"/>
            </w:rPr>
            <w:t>Eligibility</w:t>
          </w:r>
          <w:r w:rsidRPr="00F84BD5">
            <w:rPr>
              <w:sz w:val="24"/>
            </w:rPr>
            <w:t xml:space="preserve"> Policy</w:t>
          </w:r>
          <w:r>
            <w:rPr>
              <w:sz w:val="24"/>
            </w:rPr>
            <w:t xml:space="preserve"> – Individualized Career Services</w:t>
          </w:r>
        </w:p>
      </w:tc>
      <w:tc>
        <w:tcPr>
          <w:tcW w:w="5670" w:type="dxa"/>
        </w:tcPr>
        <w:p w:rsidR="00F84BD5" w:rsidRPr="00F84BD5" w:rsidRDefault="00F84BD5" w:rsidP="00F84BD5">
          <w:pPr>
            <w:rPr>
              <w:sz w:val="24"/>
            </w:rPr>
          </w:pPr>
          <w:r w:rsidRPr="00F84BD5">
            <w:rPr>
              <w:b/>
              <w:sz w:val="24"/>
            </w:rPr>
            <w:t xml:space="preserve">Release Date: </w:t>
          </w:r>
          <w:r w:rsidR="003C63E7">
            <w:rPr>
              <w:sz w:val="24"/>
            </w:rPr>
            <w:t>1/26/2022</w:t>
          </w:r>
        </w:p>
      </w:tc>
    </w:tr>
    <w:tr w:rsidR="00F84BD5" w:rsidRPr="00F84BD5" w:rsidTr="00AF6797">
      <w:tc>
        <w:tcPr>
          <w:tcW w:w="1440" w:type="dxa"/>
          <w:vMerge/>
        </w:tcPr>
        <w:p w:rsidR="00F84BD5" w:rsidRPr="00F84BD5" w:rsidRDefault="00F84BD5" w:rsidP="00F84BD5">
          <w:pPr>
            <w:rPr>
              <w:b/>
              <w:sz w:val="24"/>
            </w:rPr>
          </w:pPr>
        </w:p>
      </w:tc>
      <w:tc>
        <w:tcPr>
          <w:tcW w:w="4050" w:type="dxa"/>
        </w:tcPr>
        <w:p w:rsidR="00F84BD5" w:rsidRPr="00F84BD5" w:rsidRDefault="00F84BD5" w:rsidP="00F84BD5">
          <w:pPr>
            <w:rPr>
              <w:sz w:val="24"/>
            </w:rPr>
          </w:pPr>
          <w:r w:rsidRPr="00F84BD5">
            <w:rPr>
              <w:b/>
              <w:sz w:val="24"/>
            </w:rPr>
            <w:t xml:space="preserve">Reference:  </w:t>
          </w:r>
          <w:r>
            <w:rPr>
              <w:sz w:val="24"/>
            </w:rPr>
            <w:t>OWD Issuance 09-2019</w:t>
          </w:r>
        </w:p>
      </w:tc>
      <w:tc>
        <w:tcPr>
          <w:tcW w:w="5670" w:type="dxa"/>
        </w:tcPr>
        <w:p w:rsidR="00F84BD5" w:rsidRPr="00F84BD5" w:rsidRDefault="00F84BD5" w:rsidP="00F84BD5">
          <w:pPr>
            <w:rPr>
              <w:sz w:val="24"/>
            </w:rPr>
          </w:pPr>
          <w:r w:rsidRPr="00F84BD5">
            <w:rPr>
              <w:b/>
              <w:sz w:val="24"/>
            </w:rPr>
            <w:t>Revision:</w:t>
          </w:r>
          <w:r>
            <w:rPr>
              <w:b/>
              <w:sz w:val="24"/>
            </w:rPr>
            <w:t xml:space="preserve"> </w:t>
          </w:r>
          <w:r w:rsidR="003C63E7">
            <w:rPr>
              <w:sz w:val="24"/>
            </w:rPr>
            <w:t>4</w:t>
          </w:r>
        </w:p>
      </w:tc>
    </w:tr>
  </w:tbl>
  <w:p w:rsidR="00F84BD5" w:rsidRDefault="00F84B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41638"/>
    <w:multiLevelType w:val="hybridMultilevel"/>
    <w:tmpl w:val="3DC0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6502B"/>
    <w:multiLevelType w:val="hybridMultilevel"/>
    <w:tmpl w:val="8F9C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275E6"/>
    <w:multiLevelType w:val="hybridMultilevel"/>
    <w:tmpl w:val="A72E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30785A"/>
    <w:multiLevelType w:val="hybridMultilevel"/>
    <w:tmpl w:val="A91C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31"/>
    <w:rsid w:val="000279BE"/>
    <w:rsid w:val="00031BA1"/>
    <w:rsid w:val="00062011"/>
    <w:rsid w:val="000D3EF5"/>
    <w:rsid w:val="00114A38"/>
    <w:rsid w:val="001D4EEB"/>
    <w:rsid w:val="001E1EEA"/>
    <w:rsid w:val="00235C89"/>
    <w:rsid w:val="0027105C"/>
    <w:rsid w:val="00282912"/>
    <w:rsid w:val="002D0494"/>
    <w:rsid w:val="003235E9"/>
    <w:rsid w:val="003477DF"/>
    <w:rsid w:val="00347D59"/>
    <w:rsid w:val="003A1A1F"/>
    <w:rsid w:val="003C63E7"/>
    <w:rsid w:val="0045001B"/>
    <w:rsid w:val="00473774"/>
    <w:rsid w:val="0049040C"/>
    <w:rsid w:val="005B0CD3"/>
    <w:rsid w:val="005F7628"/>
    <w:rsid w:val="00605B56"/>
    <w:rsid w:val="00660131"/>
    <w:rsid w:val="00674309"/>
    <w:rsid w:val="006D35CC"/>
    <w:rsid w:val="00705BC9"/>
    <w:rsid w:val="00770AE9"/>
    <w:rsid w:val="0087136B"/>
    <w:rsid w:val="008A4BD8"/>
    <w:rsid w:val="008E3F43"/>
    <w:rsid w:val="00A541F7"/>
    <w:rsid w:val="00A65422"/>
    <w:rsid w:val="00A83828"/>
    <w:rsid w:val="00A87968"/>
    <w:rsid w:val="00B30A43"/>
    <w:rsid w:val="00B51C0B"/>
    <w:rsid w:val="00B80AA8"/>
    <w:rsid w:val="00BE686A"/>
    <w:rsid w:val="00C05CCA"/>
    <w:rsid w:val="00C721ED"/>
    <w:rsid w:val="00C96456"/>
    <w:rsid w:val="00CA7909"/>
    <w:rsid w:val="00D84945"/>
    <w:rsid w:val="00E743C0"/>
    <w:rsid w:val="00F84BD5"/>
    <w:rsid w:val="00FA1A9B"/>
    <w:rsid w:val="00FC0E46"/>
    <w:rsid w:val="00FC3D31"/>
    <w:rsid w:val="00FD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371DA08-615C-4450-869F-4A7C9582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right="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D31"/>
    <w:pPr>
      <w:tabs>
        <w:tab w:val="center" w:pos="4680"/>
        <w:tab w:val="right" w:pos="9360"/>
      </w:tabs>
    </w:pPr>
  </w:style>
  <w:style w:type="character" w:customStyle="1" w:styleId="HeaderChar">
    <w:name w:val="Header Char"/>
    <w:basedOn w:val="DefaultParagraphFont"/>
    <w:link w:val="Header"/>
    <w:uiPriority w:val="99"/>
    <w:rsid w:val="00FC3D31"/>
  </w:style>
  <w:style w:type="paragraph" w:styleId="Footer">
    <w:name w:val="footer"/>
    <w:basedOn w:val="Normal"/>
    <w:link w:val="FooterChar"/>
    <w:uiPriority w:val="99"/>
    <w:unhideWhenUsed/>
    <w:rsid w:val="00FC3D31"/>
    <w:pPr>
      <w:tabs>
        <w:tab w:val="center" w:pos="4680"/>
        <w:tab w:val="right" w:pos="9360"/>
      </w:tabs>
    </w:pPr>
  </w:style>
  <w:style w:type="character" w:customStyle="1" w:styleId="FooterChar">
    <w:name w:val="Footer Char"/>
    <w:basedOn w:val="DefaultParagraphFont"/>
    <w:link w:val="Footer"/>
    <w:uiPriority w:val="99"/>
    <w:rsid w:val="00FC3D31"/>
  </w:style>
  <w:style w:type="table" w:styleId="TableGrid">
    <w:name w:val="Table Grid"/>
    <w:basedOn w:val="TableNormal"/>
    <w:uiPriority w:val="39"/>
    <w:rsid w:val="00FC3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909"/>
    <w:pPr>
      <w:contextualSpacing/>
    </w:pPr>
  </w:style>
  <w:style w:type="paragraph" w:styleId="BalloonText">
    <w:name w:val="Balloon Text"/>
    <w:basedOn w:val="Normal"/>
    <w:link w:val="BalloonTextChar"/>
    <w:uiPriority w:val="99"/>
    <w:semiHidden/>
    <w:unhideWhenUsed/>
    <w:rsid w:val="00235C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C89"/>
    <w:rPr>
      <w:rFonts w:ascii="Segoe UI" w:hAnsi="Segoe UI" w:cs="Segoe UI"/>
      <w:sz w:val="18"/>
      <w:szCs w:val="18"/>
    </w:rPr>
  </w:style>
  <w:style w:type="table" w:customStyle="1" w:styleId="TableGrid1">
    <w:name w:val="Table Grid1"/>
    <w:basedOn w:val="TableNormal"/>
    <w:next w:val="TableGrid"/>
    <w:uiPriority w:val="39"/>
    <w:rsid w:val="00F84BD5"/>
    <w:pPr>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96295-5AD8-4606-8E3C-CDF188D7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Lappat</dc:creator>
  <cp:keywords/>
  <dc:description/>
  <cp:lastModifiedBy>Missy Eidson</cp:lastModifiedBy>
  <cp:revision>2</cp:revision>
  <cp:lastPrinted>2022-01-26T20:39:00Z</cp:lastPrinted>
  <dcterms:created xsi:type="dcterms:W3CDTF">2022-08-02T15:28:00Z</dcterms:created>
  <dcterms:modified xsi:type="dcterms:W3CDTF">2022-08-02T15:28:00Z</dcterms:modified>
</cp:coreProperties>
</file>